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8A2E" w14:textId="6906ED1B" w:rsidR="00331915" w:rsidRPr="00916DD2" w:rsidRDefault="003D041F" w:rsidP="00C40D0E">
      <w:pPr>
        <w:jc w:val="center"/>
        <w:rPr>
          <w:b/>
          <w:sz w:val="28"/>
          <w:szCs w:val="28"/>
        </w:rPr>
      </w:pPr>
      <w:r>
        <w:rPr>
          <w:b/>
          <w:sz w:val="28"/>
          <w:szCs w:val="28"/>
        </w:rPr>
        <w:t xml:space="preserve">BHF Research </w:t>
      </w:r>
      <w:r w:rsidR="00320F10">
        <w:rPr>
          <w:b/>
          <w:sz w:val="28"/>
          <w:szCs w:val="28"/>
        </w:rPr>
        <w:t xml:space="preserve">Professors’ </w:t>
      </w:r>
      <w:r>
        <w:rPr>
          <w:b/>
          <w:sz w:val="28"/>
          <w:szCs w:val="28"/>
        </w:rPr>
        <w:t xml:space="preserve">Costing </w:t>
      </w:r>
      <w:r w:rsidR="00720EE8">
        <w:rPr>
          <w:b/>
          <w:sz w:val="28"/>
          <w:szCs w:val="28"/>
        </w:rPr>
        <w:t>Policy</w:t>
      </w:r>
      <w:r w:rsidR="00AD7FE9">
        <w:rPr>
          <w:b/>
          <w:sz w:val="28"/>
          <w:szCs w:val="28"/>
        </w:rPr>
        <w:t xml:space="preserve"> </w:t>
      </w:r>
    </w:p>
    <w:p w14:paraId="3D6C2FB4" w14:textId="1DB70CF5" w:rsidR="003D041F" w:rsidRPr="005A7345" w:rsidRDefault="003D041F" w:rsidP="003D041F">
      <w:pPr>
        <w:rPr>
          <w:color w:val="FF0000"/>
        </w:rPr>
      </w:pPr>
      <w:r w:rsidRPr="005A7345">
        <w:rPr>
          <w:rFonts w:cstheme="minorHAnsi"/>
          <w:sz w:val="24"/>
          <w:szCs w:val="24"/>
        </w:rPr>
        <w:t xml:space="preserve">The </w:t>
      </w:r>
      <w:r w:rsidR="00C40D0E">
        <w:rPr>
          <w:rFonts w:cstheme="minorHAnsi"/>
          <w:sz w:val="24"/>
          <w:szCs w:val="24"/>
        </w:rPr>
        <w:t>award</w:t>
      </w:r>
      <w:r w:rsidRPr="005A7345">
        <w:rPr>
          <w:rFonts w:cstheme="minorHAnsi"/>
          <w:sz w:val="24"/>
          <w:szCs w:val="24"/>
        </w:rPr>
        <w:t xml:space="preserve"> is available to further the Professor’s BHF research objectives</w:t>
      </w:r>
      <w:r w:rsidR="00C40D0E">
        <w:rPr>
          <w:rFonts w:cstheme="minorHAnsi"/>
          <w:sz w:val="24"/>
          <w:szCs w:val="24"/>
        </w:rPr>
        <w:t xml:space="preserve"> and</w:t>
      </w:r>
      <w:r w:rsidR="009726F3" w:rsidRPr="005A7345">
        <w:rPr>
          <w:rFonts w:cstheme="minorHAnsi"/>
          <w:sz w:val="24"/>
          <w:szCs w:val="24"/>
        </w:rPr>
        <w:t xml:space="preserve"> may not be used to cover overheads.</w:t>
      </w:r>
      <w:r w:rsidR="00720EE8">
        <w:rPr>
          <w:rFonts w:cstheme="minorHAnsi"/>
          <w:sz w:val="24"/>
          <w:szCs w:val="24"/>
        </w:rPr>
        <w:t xml:space="preserve">  </w:t>
      </w:r>
      <w:r w:rsidR="00C40D0E">
        <w:rPr>
          <w:rFonts w:cstheme="minorHAnsi"/>
          <w:sz w:val="24"/>
          <w:szCs w:val="24"/>
        </w:rPr>
        <w:t xml:space="preserve">Virement between budget headings is allowed without prior approval but details and justification for expenditure will be requested in annual reports. Sanctions, including repayment, will be applied for any deliberate misuse of funds.  </w:t>
      </w:r>
    </w:p>
    <w:tbl>
      <w:tblPr>
        <w:tblStyle w:val="TableGrid"/>
        <w:tblW w:w="9322" w:type="dxa"/>
        <w:tblLook w:val="04A0" w:firstRow="1" w:lastRow="0" w:firstColumn="1" w:lastColumn="0" w:noHBand="0" w:noVBand="1"/>
      </w:tblPr>
      <w:tblGrid>
        <w:gridCol w:w="3369"/>
        <w:gridCol w:w="2835"/>
        <w:gridCol w:w="3118"/>
      </w:tblGrid>
      <w:tr w:rsidR="00251889" w14:paraId="7DC481EE" w14:textId="77777777" w:rsidTr="00251889">
        <w:tc>
          <w:tcPr>
            <w:tcW w:w="3369" w:type="dxa"/>
          </w:tcPr>
          <w:p w14:paraId="701CB684" w14:textId="77777777" w:rsidR="00251889" w:rsidRDefault="00251889" w:rsidP="008E4189">
            <w:r>
              <w:t>ITEM</w:t>
            </w:r>
          </w:p>
        </w:tc>
        <w:tc>
          <w:tcPr>
            <w:tcW w:w="2835" w:type="dxa"/>
          </w:tcPr>
          <w:p w14:paraId="1892D466" w14:textId="77777777" w:rsidR="00251889" w:rsidRDefault="00251889" w:rsidP="008E4189">
            <w:r>
              <w:t>Allowed</w:t>
            </w:r>
          </w:p>
        </w:tc>
        <w:tc>
          <w:tcPr>
            <w:tcW w:w="3118" w:type="dxa"/>
          </w:tcPr>
          <w:p w14:paraId="53EB1D01" w14:textId="77777777" w:rsidR="00251889" w:rsidRDefault="00251889" w:rsidP="008E4189">
            <w:r>
              <w:t>Not Allowed</w:t>
            </w:r>
          </w:p>
        </w:tc>
      </w:tr>
      <w:tr w:rsidR="00167A7B" w14:paraId="1D7FEF47" w14:textId="77777777" w:rsidTr="00251889">
        <w:tc>
          <w:tcPr>
            <w:tcW w:w="3369" w:type="dxa"/>
          </w:tcPr>
          <w:p w14:paraId="76B98E1B" w14:textId="0F1B2AB2" w:rsidR="00167A7B" w:rsidRDefault="00167A7B" w:rsidP="00167A7B">
            <w:r w:rsidRPr="008940B9">
              <w:t>Salaries</w:t>
            </w:r>
          </w:p>
        </w:tc>
        <w:tc>
          <w:tcPr>
            <w:tcW w:w="2835" w:type="dxa"/>
          </w:tcPr>
          <w:p w14:paraId="1B8DBD19" w14:textId="77777777" w:rsidR="005C1E05" w:rsidRDefault="005C1E05" w:rsidP="00167A7B">
            <w:r>
              <w:t>S</w:t>
            </w:r>
            <w:r w:rsidRPr="008940B9">
              <w:t xml:space="preserve">taff employed on fixed term </w:t>
            </w:r>
            <w:r>
              <w:t xml:space="preserve">contracts </w:t>
            </w:r>
            <w:r w:rsidRPr="008940B9">
              <w:t xml:space="preserve">to work specifically on the </w:t>
            </w:r>
            <w:r>
              <w:t>Professor’s research objectives.</w:t>
            </w:r>
          </w:p>
          <w:p w14:paraId="29770F4D" w14:textId="77777777" w:rsidR="005C1E05" w:rsidRDefault="00B47FD5" w:rsidP="00167A7B">
            <w:r>
              <w:t xml:space="preserve">Short term bridging </w:t>
            </w:r>
            <w:r w:rsidR="00454C10">
              <w:t>for</w:t>
            </w:r>
            <w:r w:rsidR="005C1E05">
              <w:t xml:space="preserve"> </w:t>
            </w:r>
            <w:r w:rsidR="00454C10">
              <w:t xml:space="preserve">staff and </w:t>
            </w:r>
            <w:r>
              <w:t>PhD students.</w:t>
            </w:r>
          </w:p>
          <w:p w14:paraId="4E4CCFD7" w14:textId="49018BEF" w:rsidR="00167A7B" w:rsidRDefault="009726F3" w:rsidP="00167A7B">
            <w:r w:rsidRPr="009726F3">
              <w:t>Basic salary on the appropriate national pay scale</w:t>
            </w:r>
            <w:r>
              <w:t xml:space="preserve"> and standard on costs</w:t>
            </w:r>
            <w:r w:rsidR="00454C10">
              <w:t xml:space="preserve"> or the current BHF stipend rate</w:t>
            </w:r>
            <w:r w:rsidR="000841B0">
              <w:t>.</w:t>
            </w:r>
            <w:r w:rsidR="00454C10">
              <w:t xml:space="preserve"> </w:t>
            </w:r>
          </w:p>
          <w:p w14:paraId="193C8A51" w14:textId="1278DB2A" w:rsidR="00ED08B7" w:rsidRPr="00745D13" w:rsidRDefault="00ED08B7" w:rsidP="00167A7B">
            <w:r>
              <w:t xml:space="preserve">BHF must be </w:t>
            </w:r>
            <w:r w:rsidR="002A66A6">
              <w:t xml:space="preserve">provided with staff details </w:t>
            </w:r>
            <w:r>
              <w:t>in advance</w:t>
            </w:r>
            <w:r w:rsidR="002A66A6">
              <w:t xml:space="preserve"> of appointment. Failure to do so will prevent invoices being reimbursed</w:t>
            </w:r>
          </w:p>
        </w:tc>
        <w:tc>
          <w:tcPr>
            <w:tcW w:w="3118" w:type="dxa"/>
          </w:tcPr>
          <w:p w14:paraId="429306FD" w14:textId="3199A929" w:rsidR="00167A7B" w:rsidRDefault="009726F3" w:rsidP="00167A7B">
            <w:r>
              <w:t xml:space="preserve">Administrative </w:t>
            </w:r>
            <w:r w:rsidR="00B47FD5">
              <w:t xml:space="preserve">and </w:t>
            </w:r>
            <w:r w:rsidR="00900B2C">
              <w:t xml:space="preserve">departmental </w:t>
            </w:r>
            <w:r w:rsidR="00B47FD5">
              <w:t xml:space="preserve">support </w:t>
            </w:r>
            <w:r>
              <w:t>staff,</w:t>
            </w:r>
            <w:r w:rsidR="00B47FD5">
              <w:t xml:space="preserve"> PhD </w:t>
            </w:r>
            <w:r w:rsidR="00454C10">
              <w:t>programmes</w:t>
            </w:r>
            <w:r w:rsidR="00B47FD5">
              <w:t xml:space="preserve">, </w:t>
            </w:r>
            <w:r>
              <w:t>l</w:t>
            </w:r>
            <w:r w:rsidR="00167A7B" w:rsidRPr="008940B9">
              <w:t xml:space="preserve">ocal pay awards, </w:t>
            </w:r>
            <w:r w:rsidR="005A7345">
              <w:t xml:space="preserve">PhD tuition and college fees, </w:t>
            </w:r>
            <w:r w:rsidR="00454C10">
              <w:t xml:space="preserve">apprenticeship levy, </w:t>
            </w:r>
            <w:r w:rsidR="00167A7B" w:rsidRPr="008940B9">
              <w:t xml:space="preserve">redundancy, </w:t>
            </w:r>
            <w:r w:rsidR="0081263D" w:rsidRPr="008940B9">
              <w:t>childcare</w:t>
            </w:r>
            <w:r w:rsidR="00454C10">
              <w:t xml:space="preserve">, </w:t>
            </w:r>
            <w:r w:rsidR="005A7345">
              <w:t>eye care, health insurance</w:t>
            </w:r>
          </w:p>
        </w:tc>
      </w:tr>
      <w:tr w:rsidR="00167A7B" w14:paraId="7BB73D2E" w14:textId="77777777" w:rsidTr="00251889">
        <w:tc>
          <w:tcPr>
            <w:tcW w:w="3369" w:type="dxa"/>
          </w:tcPr>
          <w:p w14:paraId="2A248B8A" w14:textId="24DDB7A1" w:rsidR="00167A7B" w:rsidRDefault="00167A7B" w:rsidP="00167A7B">
            <w:r w:rsidRPr="008940B9">
              <w:t>Laboratory expenses</w:t>
            </w:r>
          </w:p>
        </w:tc>
        <w:tc>
          <w:tcPr>
            <w:tcW w:w="2835" w:type="dxa"/>
          </w:tcPr>
          <w:p w14:paraId="5709F54A" w14:textId="68DA6B36" w:rsidR="00167A7B" w:rsidRDefault="00167A7B" w:rsidP="00B47FD5">
            <w:r w:rsidRPr="008940B9">
              <w:t>Laboratory chemicals and materials</w:t>
            </w:r>
            <w:r w:rsidR="00B47FD5">
              <w:t>,</w:t>
            </w:r>
            <w:r w:rsidRPr="008940B9">
              <w:t xml:space="preserve"> </w:t>
            </w:r>
            <w:r w:rsidR="00B47FD5">
              <w:t>and associated costs for delivery</w:t>
            </w:r>
          </w:p>
        </w:tc>
        <w:tc>
          <w:tcPr>
            <w:tcW w:w="3118" w:type="dxa"/>
          </w:tcPr>
          <w:p w14:paraId="3413EEA7" w14:textId="77777777" w:rsidR="00167A7B" w:rsidRDefault="00167A7B" w:rsidP="00167A7B"/>
        </w:tc>
      </w:tr>
      <w:tr w:rsidR="00167A7B" w14:paraId="40F62CFB" w14:textId="77777777" w:rsidTr="00251889">
        <w:tc>
          <w:tcPr>
            <w:tcW w:w="3369" w:type="dxa"/>
          </w:tcPr>
          <w:p w14:paraId="3FB2F69C" w14:textId="7883D896" w:rsidR="00167A7B" w:rsidRDefault="00167A7B" w:rsidP="00167A7B">
            <w:r w:rsidRPr="008940B9">
              <w:t>Animal research costs</w:t>
            </w:r>
          </w:p>
        </w:tc>
        <w:tc>
          <w:tcPr>
            <w:tcW w:w="2835" w:type="dxa"/>
          </w:tcPr>
          <w:p w14:paraId="06BB979C" w14:textId="42F1DB59" w:rsidR="00167A7B" w:rsidRDefault="00B47FD5" w:rsidP="00167A7B">
            <w:r>
              <w:t>Purchase, transportation, maintenance, h</w:t>
            </w:r>
            <w:r w:rsidR="00167A7B" w:rsidRPr="008940B9">
              <w:t xml:space="preserve">ome office </w:t>
            </w:r>
            <w:r w:rsidR="00B51768" w:rsidRPr="00B51768">
              <w:t xml:space="preserve">project and personal </w:t>
            </w:r>
            <w:r w:rsidR="00167A7B" w:rsidRPr="00B51768">
              <w:t>licences and training costs</w:t>
            </w:r>
          </w:p>
        </w:tc>
        <w:tc>
          <w:tcPr>
            <w:tcW w:w="3118" w:type="dxa"/>
          </w:tcPr>
          <w:p w14:paraId="65B3E21C" w14:textId="5378B25C" w:rsidR="00167A7B" w:rsidRDefault="00B51768" w:rsidP="00167A7B">
            <w:r>
              <w:t>Facility licence costs</w:t>
            </w:r>
          </w:p>
        </w:tc>
      </w:tr>
      <w:tr w:rsidR="00167A7B" w14:paraId="77A617B4" w14:textId="77777777" w:rsidTr="00251889">
        <w:tc>
          <w:tcPr>
            <w:tcW w:w="3369" w:type="dxa"/>
          </w:tcPr>
          <w:p w14:paraId="357FC690" w14:textId="585F42C5" w:rsidR="00167A7B" w:rsidRDefault="00167A7B" w:rsidP="00167A7B">
            <w:r w:rsidRPr="008940B9">
              <w:t>Outsourcing</w:t>
            </w:r>
          </w:p>
        </w:tc>
        <w:tc>
          <w:tcPr>
            <w:tcW w:w="2835" w:type="dxa"/>
          </w:tcPr>
          <w:p w14:paraId="7BD684FC" w14:textId="77777777" w:rsidR="00167A7B" w:rsidRDefault="00167A7B" w:rsidP="00167A7B">
            <w:r w:rsidRPr="008940B9">
              <w:t xml:space="preserve">Funds to outsource </w:t>
            </w:r>
            <w:r w:rsidR="00B51768">
              <w:t xml:space="preserve">a </w:t>
            </w:r>
            <w:r w:rsidRPr="008940B9">
              <w:t>specifically defined piece</w:t>
            </w:r>
            <w:r w:rsidR="00B51768">
              <w:t xml:space="preserve"> </w:t>
            </w:r>
            <w:r w:rsidRPr="008940B9">
              <w:t>of work on a contracted/fee-for-service basis</w:t>
            </w:r>
            <w:r w:rsidR="007267C7">
              <w:t>.</w:t>
            </w:r>
          </w:p>
          <w:p w14:paraId="01F164EC" w14:textId="25187EAE" w:rsidR="007267C7" w:rsidRDefault="007267C7" w:rsidP="00167A7B">
            <w:r>
              <w:t xml:space="preserve">BHF approval must be sought in advance if &gt; 50% of the total annual award is required  </w:t>
            </w:r>
          </w:p>
        </w:tc>
        <w:tc>
          <w:tcPr>
            <w:tcW w:w="3118" w:type="dxa"/>
          </w:tcPr>
          <w:p w14:paraId="24B966B6" w14:textId="6DEDABC0" w:rsidR="00167A7B" w:rsidRDefault="00167A7B" w:rsidP="00167A7B"/>
        </w:tc>
      </w:tr>
      <w:tr w:rsidR="00167A7B" w14:paraId="680280E0" w14:textId="77777777" w:rsidTr="00251889">
        <w:tc>
          <w:tcPr>
            <w:tcW w:w="3369" w:type="dxa"/>
          </w:tcPr>
          <w:p w14:paraId="19ABE5BE" w14:textId="10228FBE" w:rsidR="00167A7B" w:rsidRDefault="00167A7B" w:rsidP="00167A7B">
            <w:r w:rsidRPr="008940B9">
              <w:t xml:space="preserve">Intellectual property costs </w:t>
            </w:r>
          </w:p>
        </w:tc>
        <w:tc>
          <w:tcPr>
            <w:tcW w:w="2835" w:type="dxa"/>
          </w:tcPr>
          <w:p w14:paraId="72996AE9" w14:textId="3C57A56C" w:rsidR="00167A7B" w:rsidRDefault="00B51768" w:rsidP="00167A7B">
            <w:r>
              <w:t>P</w:t>
            </w:r>
            <w:r w:rsidRPr="008940B9">
              <w:t>atent filling, maintenance costs, freedom to operate searches</w:t>
            </w:r>
          </w:p>
        </w:tc>
        <w:tc>
          <w:tcPr>
            <w:tcW w:w="3118" w:type="dxa"/>
          </w:tcPr>
          <w:p w14:paraId="02A75207" w14:textId="18F11922" w:rsidR="00167A7B" w:rsidRDefault="00167A7B" w:rsidP="00167A7B"/>
        </w:tc>
      </w:tr>
      <w:tr w:rsidR="00167A7B" w14:paraId="24E2C977" w14:textId="77777777" w:rsidTr="00251889">
        <w:tc>
          <w:tcPr>
            <w:tcW w:w="3369" w:type="dxa"/>
          </w:tcPr>
          <w:p w14:paraId="3F2866BC" w14:textId="745DEE29" w:rsidR="00167A7B" w:rsidRDefault="00167A7B" w:rsidP="00167A7B">
            <w:r w:rsidRPr="008940B9">
              <w:t>Equipment</w:t>
            </w:r>
          </w:p>
        </w:tc>
        <w:tc>
          <w:tcPr>
            <w:tcW w:w="2835" w:type="dxa"/>
          </w:tcPr>
          <w:p w14:paraId="05185E4C" w14:textId="6EFB5F4F" w:rsidR="005170B1" w:rsidRPr="00035AF3" w:rsidRDefault="00167A7B" w:rsidP="005170B1">
            <w:r w:rsidRPr="00035AF3">
              <w:t xml:space="preserve">Small items of equipment essential to </w:t>
            </w:r>
            <w:r w:rsidR="005170B1" w:rsidRPr="00035AF3">
              <w:t xml:space="preserve">the </w:t>
            </w:r>
            <w:r w:rsidR="00B51768" w:rsidRPr="00035AF3">
              <w:t xml:space="preserve">Professor’s </w:t>
            </w:r>
            <w:r w:rsidRPr="00035AF3">
              <w:t xml:space="preserve">research </w:t>
            </w:r>
            <w:r w:rsidR="00B51768" w:rsidRPr="00035AF3">
              <w:t>objectives</w:t>
            </w:r>
            <w:r w:rsidRPr="00035AF3">
              <w:t>.</w:t>
            </w:r>
          </w:p>
          <w:p w14:paraId="4349BD74" w14:textId="071207F6" w:rsidR="005170B1" w:rsidRPr="00035AF3" w:rsidRDefault="007267C7" w:rsidP="005170B1">
            <w:r w:rsidRPr="00035AF3">
              <w:t xml:space="preserve">BHF approval must be sought in advance for items costing &gt; £50,000, including a letter confirming an </w:t>
            </w:r>
            <w:r w:rsidRPr="00035AF3">
              <w:lastRenderedPageBreak/>
              <w:t>institutional contribution of 50% or more.</w:t>
            </w:r>
          </w:p>
          <w:p w14:paraId="0BFA1411" w14:textId="7D7403D4" w:rsidR="00167A7B" w:rsidRPr="00035AF3" w:rsidRDefault="005170B1" w:rsidP="005170B1">
            <w:r w:rsidRPr="00035AF3">
              <w:t>Maintenance and service costs</w:t>
            </w:r>
          </w:p>
        </w:tc>
        <w:tc>
          <w:tcPr>
            <w:tcW w:w="3118" w:type="dxa"/>
          </w:tcPr>
          <w:p w14:paraId="13E07485" w14:textId="22BC2C78" w:rsidR="00167A7B" w:rsidRDefault="00ED08B7" w:rsidP="00167A7B">
            <w:r>
              <w:lastRenderedPageBreak/>
              <w:t>VAT</w:t>
            </w:r>
          </w:p>
        </w:tc>
      </w:tr>
      <w:tr w:rsidR="00167A7B" w14:paraId="66B5AF82" w14:textId="77777777" w:rsidTr="003B4086">
        <w:tc>
          <w:tcPr>
            <w:tcW w:w="3369" w:type="dxa"/>
          </w:tcPr>
          <w:p w14:paraId="2B57A815" w14:textId="59C82B21" w:rsidR="00167A7B" w:rsidRDefault="00A25F48" w:rsidP="00167A7B">
            <w:r>
              <w:t>Personal c</w:t>
            </w:r>
            <w:r w:rsidR="00167A7B" w:rsidRPr="008940B9">
              <w:t>omputer</w:t>
            </w:r>
            <w:r w:rsidR="005C081F">
              <w:t>s</w:t>
            </w:r>
            <w:r>
              <w:t>, laptops and tablets</w:t>
            </w:r>
          </w:p>
        </w:tc>
        <w:tc>
          <w:tcPr>
            <w:tcW w:w="2835" w:type="dxa"/>
          </w:tcPr>
          <w:p w14:paraId="5CD7FCE7" w14:textId="20AE7043" w:rsidR="00167A7B" w:rsidRPr="00A61EFB" w:rsidRDefault="00A25F48" w:rsidP="00167A7B">
            <w:pPr>
              <w:rPr>
                <w:color w:val="000000"/>
              </w:rPr>
            </w:pPr>
            <w:r>
              <w:t xml:space="preserve">For staff funded </w:t>
            </w:r>
            <w:r w:rsidR="002D4C4D">
              <w:t xml:space="preserve">directly </w:t>
            </w:r>
            <w:r>
              <w:t>on the Research Professorship</w:t>
            </w:r>
          </w:p>
        </w:tc>
        <w:tc>
          <w:tcPr>
            <w:tcW w:w="3118" w:type="dxa"/>
          </w:tcPr>
          <w:p w14:paraId="650E0A80" w14:textId="54A6F6A6" w:rsidR="00167A7B" w:rsidRPr="00A61EFB" w:rsidRDefault="007267C7" w:rsidP="00167A7B">
            <w:r>
              <w:t>C</w:t>
            </w:r>
            <w:r w:rsidR="005C081F">
              <w:t xml:space="preserve">omputer accessories </w:t>
            </w:r>
            <w:r w:rsidR="005C081F" w:rsidRPr="008940B9">
              <w:t>(</w:t>
            </w:r>
            <w:proofErr w:type="spellStart"/>
            <w:r w:rsidR="005C081F" w:rsidRPr="008940B9">
              <w:t>eg</w:t>
            </w:r>
            <w:proofErr w:type="spellEnd"/>
            <w:r w:rsidR="005C081F" w:rsidRPr="008940B9">
              <w:t xml:space="preserve"> drives, cases, chargers, batteries)</w:t>
            </w:r>
          </w:p>
        </w:tc>
      </w:tr>
      <w:tr w:rsidR="00167A7B" w14:paraId="0E93A715" w14:textId="77777777" w:rsidTr="003B4086">
        <w:tc>
          <w:tcPr>
            <w:tcW w:w="3369" w:type="dxa"/>
          </w:tcPr>
          <w:p w14:paraId="3E549418" w14:textId="417140C8" w:rsidR="00167A7B" w:rsidRDefault="00167A7B" w:rsidP="00167A7B">
            <w:r w:rsidRPr="008940B9">
              <w:t>Software</w:t>
            </w:r>
          </w:p>
        </w:tc>
        <w:tc>
          <w:tcPr>
            <w:tcW w:w="2835" w:type="dxa"/>
          </w:tcPr>
          <w:p w14:paraId="4DC22579" w14:textId="118FB4A0" w:rsidR="00167A7B" w:rsidRDefault="00900B2C" w:rsidP="00167A7B">
            <w:r>
              <w:t>Scientific software</w:t>
            </w:r>
          </w:p>
        </w:tc>
        <w:tc>
          <w:tcPr>
            <w:tcW w:w="3118" w:type="dxa"/>
          </w:tcPr>
          <w:p w14:paraId="2C247B1C" w14:textId="51110FCD" w:rsidR="00167A7B" w:rsidRDefault="00167A7B" w:rsidP="00167A7B">
            <w:r w:rsidRPr="008940B9">
              <w:t>Generic office software</w:t>
            </w:r>
          </w:p>
        </w:tc>
      </w:tr>
      <w:tr w:rsidR="00C13D49" w14:paraId="54968E67" w14:textId="77777777" w:rsidTr="005A7345">
        <w:tc>
          <w:tcPr>
            <w:tcW w:w="3369" w:type="dxa"/>
          </w:tcPr>
          <w:p w14:paraId="455F8A1A" w14:textId="169815B9" w:rsidR="00C13D49" w:rsidRDefault="00C13D49" w:rsidP="00C13D49">
            <w:r>
              <w:t>Data management and sharing costs</w:t>
            </w:r>
          </w:p>
        </w:tc>
        <w:tc>
          <w:tcPr>
            <w:tcW w:w="2835" w:type="dxa"/>
            <w:vAlign w:val="center"/>
          </w:tcPr>
          <w:p w14:paraId="7D41D78A" w14:textId="29020EE9" w:rsidR="00C13D49" w:rsidRDefault="00900B2C" w:rsidP="00C13D49">
            <w:r>
              <w:t>A</w:t>
            </w:r>
            <w:r w:rsidR="00C13D49" w:rsidRPr="008940B9">
              <w:t xml:space="preserve">rchiving, repository fees, data storage and data management services </w:t>
            </w:r>
          </w:p>
        </w:tc>
        <w:tc>
          <w:tcPr>
            <w:tcW w:w="3118" w:type="dxa"/>
            <w:vAlign w:val="center"/>
          </w:tcPr>
          <w:p w14:paraId="61F6D001" w14:textId="5F4212CE" w:rsidR="00C13D49" w:rsidRDefault="00C13D49" w:rsidP="00C13D49"/>
        </w:tc>
      </w:tr>
      <w:tr w:rsidR="005A7345" w14:paraId="6437C4CA" w14:textId="77777777" w:rsidTr="004B0390">
        <w:tc>
          <w:tcPr>
            <w:tcW w:w="3369" w:type="dxa"/>
          </w:tcPr>
          <w:p w14:paraId="6891F89A" w14:textId="77777777" w:rsidR="005A7345" w:rsidRDefault="005A7345" w:rsidP="004B0390">
            <w:r w:rsidRPr="008940B9">
              <w:t>Access charges for use of equipment and facilities</w:t>
            </w:r>
          </w:p>
        </w:tc>
        <w:tc>
          <w:tcPr>
            <w:tcW w:w="2835" w:type="dxa"/>
          </w:tcPr>
          <w:p w14:paraId="42FB136C" w14:textId="77777777" w:rsidR="005A7345" w:rsidRDefault="005A7345" w:rsidP="004B0390">
            <w:r w:rsidRPr="008940B9">
              <w:t>Where BHF has provided significant funding towards infrastructure and / or core facility support reduced access/charge-out costs should be requested</w:t>
            </w:r>
          </w:p>
        </w:tc>
        <w:tc>
          <w:tcPr>
            <w:tcW w:w="3118" w:type="dxa"/>
          </w:tcPr>
          <w:p w14:paraId="3524EA28" w14:textId="77777777" w:rsidR="005A7345" w:rsidRDefault="005A7345" w:rsidP="004B0390">
            <w:r w:rsidRPr="008940B9">
              <w:t> </w:t>
            </w:r>
          </w:p>
        </w:tc>
      </w:tr>
      <w:tr w:rsidR="00C13D49" w14:paraId="083DA34C" w14:textId="77777777" w:rsidTr="00251889">
        <w:tc>
          <w:tcPr>
            <w:tcW w:w="3369" w:type="dxa"/>
          </w:tcPr>
          <w:p w14:paraId="43D020FF" w14:textId="476D05F4" w:rsidR="00C13D49" w:rsidRDefault="00C13D49" w:rsidP="00C13D49">
            <w:r w:rsidRPr="008940B9">
              <w:t>Training courses</w:t>
            </w:r>
          </w:p>
        </w:tc>
        <w:tc>
          <w:tcPr>
            <w:tcW w:w="2835" w:type="dxa"/>
          </w:tcPr>
          <w:p w14:paraId="5925F232" w14:textId="55E7369C" w:rsidR="00C13D49" w:rsidRDefault="00C13D49" w:rsidP="00C47E5B">
            <w:r w:rsidRPr="008940B9">
              <w:t>Reasonable costs related to</w:t>
            </w:r>
            <w:r w:rsidR="00C47E5B">
              <w:t xml:space="preserve"> </w:t>
            </w:r>
            <w:r w:rsidRPr="008940B9">
              <w:t>the</w:t>
            </w:r>
            <w:r w:rsidR="00C47E5B">
              <w:t xml:space="preserve"> Professor’s research objectives </w:t>
            </w:r>
          </w:p>
        </w:tc>
        <w:tc>
          <w:tcPr>
            <w:tcW w:w="3118" w:type="dxa"/>
          </w:tcPr>
          <w:p w14:paraId="1FC94A8C" w14:textId="33A65D1C" w:rsidR="00C13D49" w:rsidRDefault="00C13D49" w:rsidP="00C13D49">
            <w:r w:rsidRPr="008940B9">
              <w:t xml:space="preserve">Non science specific, </w:t>
            </w:r>
            <w:r w:rsidR="00C47E5B">
              <w:t xml:space="preserve">general HR, </w:t>
            </w:r>
            <w:r w:rsidRPr="008940B9">
              <w:t>IT, degree awarding programmes</w:t>
            </w:r>
          </w:p>
        </w:tc>
      </w:tr>
      <w:tr w:rsidR="00C13D49" w14:paraId="28869F41" w14:textId="77777777" w:rsidTr="00251889">
        <w:tc>
          <w:tcPr>
            <w:tcW w:w="3369" w:type="dxa"/>
          </w:tcPr>
          <w:p w14:paraId="31DDDBF4" w14:textId="104EBCF6" w:rsidR="00C13D49" w:rsidRDefault="00C13D49" w:rsidP="00C13D49">
            <w:r w:rsidRPr="008940B9">
              <w:t>Travel</w:t>
            </w:r>
          </w:p>
        </w:tc>
        <w:tc>
          <w:tcPr>
            <w:tcW w:w="2835" w:type="dxa"/>
          </w:tcPr>
          <w:p w14:paraId="7A6CE865" w14:textId="3C845C99" w:rsidR="00C47E5B" w:rsidRPr="00035AF3" w:rsidRDefault="00C13D49" w:rsidP="00C13D49">
            <w:r w:rsidRPr="000262FD">
              <w:t xml:space="preserve">Advanced economy </w:t>
            </w:r>
            <w:proofErr w:type="gramStart"/>
            <w:r w:rsidRPr="000262FD">
              <w:t>return</w:t>
            </w:r>
            <w:proofErr w:type="gramEnd"/>
            <w:r w:rsidRPr="000262FD">
              <w:t xml:space="preserve"> fares </w:t>
            </w:r>
            <w:r w:rsidR="00A25F48">
              <w:t>for staff funded</w:t>
            </w:r>
            <w:r w:rsidR="00C40D0E">
              <w:t xml:space="preserve"> directly</w:t>
            </w:r>
            <w:r w:rsidR="00A25F48">
              <w:t xml:space="preserve"> on the Research Professorship for travel </w:t>
            </w:r>
            <w:r w:rsidR="00C47E5B" w:rsidRPr="000262FD">
              <w:t xml:space="preserve">relating to the Professor’s research </w:t>
            </w:r>
            <w:r w:rsidR="00C47E5B" w:rsidRPr="00035AF3">
              <w:t>objectives</w:t>
            </w:r>
            <w:r w:rsidR="00C40D0E">
              <w:t>,</w:t>
            </w:r>
            <w:r w:rsidR="000262FD" w:rsidRPr="00035AF3">
              <w:t xml:space="preserve"> up to </w:t>
            </w:r>
            <w:r w:rsidR="00A25F48" w:rsidRPr="00035AF3">
              <w:t>£10,000 per year</w:t>
            </w:r>
            <w:r w:rsidR="00C47E5B" w:rsidRPr="00035AF3">
              <w:t>.</w:t>
            </w:r>
          </w:p>
          <w:p w14:paraId="7402C698" w14:textId="23D4CEA1" w:rsidR="00C13D49" w:rsidRDefault="00C13D49" w:rsidP="00C13D49">
            <w:r w:rsidRPr="00035AF3">
              <w:t>Remote conferencing should</w:t>
            </w:r>
            <w:r w:rsidRPr="000262FD">
              <w:t xml:space="preserve"> be used whenever possible to minimise carbon output</w:t>
            </w:r>
            <w:r w:rsidR="00D52714">
              <w:t>.</w:t>
            </w:r>
          </w:p>
          <w:p w14:paraId="274BE7CC" w14:textId="37B3EF47" w:rsidR="00C13D49" w:rsidRDefault="00D52714" w:rsidP="00C13D49">
            <w:r>
              <w:rPr>
                <w:rFonts w:cstheme="minorHAnsi"/>
                <w:color w:val="333333"/>
              </w:rPr>
              <w:t>S</w:t>
            </w:r>
            <w:r w:rsidRPr="00A66128">
              <w:rPr>
                <w:rFonts w:cstheme="minorHAnsi"/>
                <w:color w:val="333333"/>
              </w:rPr>
              <w:t xml:space="preserve">ubsistence </w:t>
            </w:r>
            <w:r>
              <w:rPr>
                <w:rFonts w:cstheme="minorHAnsi"/>
                <w:color w:val="333333"/>
              </w:rPr>
              <w:t xml:space="preserve">(up to £45 per day), hotel accommodation (up to £150 per night), conference </w:t>
            </w:r>
            <w:r w:rsidRPr="00A66128">
              <w:rPr>
                <w:rFonts w:cstheme="minorHAnsi"/>
                <w:color w:val="333333"/>
              </w:rPr>
              <w:t>registration</w:t>
            </w:r>
            <w:r>
              <w:rPr>
                <w:rFonts w:cstheme="minorHAnsi"/>
                <w:color w:val="333333"/>
              </w:rPr>
              <w:t xml:space="preserve"> fees, abstract submission and poster printing</w:t>
            </w:r>
            <w:r w:rsidDel="006F7FA4">
              <w:t xml:space="preserve"> </w:t>
            </w:r>
          </w:p>
        </w:tc>
        <w:tc>
          <w:tcPr>
            <w:tcW w:w="3118" w:type="dxa"/>
          </w:tcPr>
          <w:p w14:paraId="260853E1" w14:textId="1B4F8A02" w:rsidR="00C13D49" w:rsidRDefault="00C13D49" w:rsidP="00C13D49">
            <w:proofErr w:type="spellStart"/>
            <w:proofErr w:type="gramStart"/>
            <w:r w:rsidRPr="008940B9">
              <w:t>Non essential</w:t>
            </w:r>
            <w:proofErr w:type="spellEnd"/>
            <w:proofErr w:type="gramEnd"/>
            <w:r w:rsidRPr="008940B9">
              <w:t xml:space="preserve"> travel</w:t>
            </w:r>
            <w:r w:rsidR="000262FD">
              <w:t xml:space="preserve">, taxis </w:t>
            </w:r>
            <w:r w:rsidR="00D52714">
              <w:t xml:space="preserve">unless </w:t>
            </w:r>
            <w:r w:rsidR="00D52714" w:rsidRPr="00D52714">
              <w:t>public transport cannot be used</w:t>
            </w:r>
            <w:r w:rsidR="00D52714">
              <w:t>,</w:t>
            </w:r>
            <w:r w:rsidR="00F950F6">
              <w:t xml:space="preserve"> tips,</w:t>
            </w:r>
            <w:r w:rsidR="00D52714">
              <w:t xml:space="preserve"> v</w:t>
            </w:r>
            <w:r w:rsidR="00D52714" w:rsidRPr="008940B9">
              <w:t>isa/ETA fees, customs fees, travel insurance, car hire, petrol, parking fines, alcoholic beverages, Wi-Fi charges</w:t>
            </w:r>
          </w:p>
        </w:tc>
      </w:tr>
      <w:tr w:rsidR="00AF6C3E" w14:paraId="233F6DE7" w14:textId="77777777" w:rsidTr="00264B34">
        <w:tc>
          <w:tcPr>
            <w:tcW w:w="3369" w:type="dxa"/>
          </w:tcPr>
          <w:p w14:paraId="610FD836" w14:textId="77777777" w:rsidR="00AF6C3E" w:rsidRDefault="00AF6C3E" w:rsidP="00264B34">
            <w:r w:rsidRPr="008940B9">
              <w:t>Fees and memberships to professional organisations</w:t>
            </w:r>
          </w:p>
        </w:tc>
        <w:tc>
          <w:tcPr>
            <w:tcW w:w="2835" w:type="dxa"/>
          </w:tcPr>
          <w:p w14:paraId="37E674FF" w14:textId="77777777" w:rsidR="00AF6C3E" w:rsidRDefault="00AF6C3E" w:rsidP="00264B34">
            <w:r>
              <w:t>For the Professor</w:t>
            </w:r>
          </w:p>
        </w:tc>
        <w:tc>
          <w:tcPr>
            <w:tcW w:w="3118" w:type="dxa"/>
          </w:tcPr>
          <w:p w14:paraId="1F232B43" w14:textId="77777777" w:rsidR="00AF6C3E" w:rsidRDefault="00AF6C3E" w:rsidP="00264B34">
            <w:r>
              <w:t>Staff in the Professor’s department</w:t>
            </w:r>
          </w:p>
        </w:tc>
      </w:tr>
      <w:tr w:rsidR="00C23D7D" w14:paraId="4B11F16E" w14:textId="77777777" w:rsidTr="00264B34">
        <w:tc>
          <w:tcPr>
            <w:tcW w:w="3369" w:type="dxa"/>
          </w:tcPr>
          <w:p w14:paraId="7DBD9609" w14:textId="77777777" w:rsidR="00C23D7D" w:rsidRDefault="00C23D7D" w:rsidP="00C23D7D">
            <w:r>
              <w:t>Staff r</w:t>
            </w:r>
            <w:r w:rsidRPr="008940B9">
              <w:t>ecruitment</w:t>
            </w:r>
            <w:r>
              <w:t xml:space="preserve"> costs</w:t>
            </w:r>
          </w:p>
        </w:tc>
        <w:tc>
          <w:tcPr>
            <w:tcW w:w="2835" w:type="dxa"/>
          </w:tcPr>
          <w:p w14:paraId="6D31DA64" w14:textId="77777777" w:rsidR="00C23D7D" w:rsidRDefault="00C23D7D" w:rsidP="00C23D7D"/>
        </w:tc>
        <w:tc>
          <w:tcPr>
            <w:tcW w:w="3118" w:type="dxa"/>
          </w:tcPr>
          <w:p w14:paraId="2C9429BD" w14:textId="77777777" w:rsidR="00C23D7D" w:rsidRDefault="00C23D7D" w:rsidP="00C23D7D">
            <w:r>
              <w:t>Not allowed</w:t>
            </w:r>
          </w:p>
        </w:tc>
      </w:tr>
      <w:tr w:rsidR="00C23D7D" w14:paraId="0A370645" w14:textId="77777777" w:rsidTr="00264B34">
        <w:tc>
          <w:tcPr>
            <w:tcW w:w="3369" w:type="dxa"/>
          </w:tcPr>
          <w:p w14:paraId="0A67E487" w14:textId="77777777" w:rsidR="00C23D7D" w:rsidRDefault="00C23D7D" w:rsidP="00C23D7D">
            <w:r w:rsidRPr="008940B9">
              <w:t>Furniture (</w:t>
            </w:r>
            <w:proofErr w:type="spellStart"/>
            <w:r w:rsidRPr="008940B9">
              <w:t>eg</w:t>
            </w:r>
            <w:proofErr w:type="spellEnd"/>
            <w:r w:rsidRPr="008940B9">
              <w:t xml:space="preserve"> desks, chairs, lab furniture, telephones)</w:t>
            </w:r>
          </w:p>
        </w:tc>
        <w:tc>
          <w:tcPr>
            <w:tcW w:w="2835" w:type="dxa"/>
          </w:tcPr>
          <w:p w14:paraId="4EB6C12B" w14:textId="77777777" w:rsidR="00C23D7D" w:rsidRDefault="00C23D7D" w:rsidP="00C23D7D"/>
        </w:tc>
        <w:tc>
          <w:tcPr>
            <w:tcW w:w="3118" w:type="dxa"/>
          </w:tcPr>
          <w:p w14:paraId="541D7C51" w14:textId="77777777" w:rsidR="00C23D7D" w:rsidRDefault="00C23D7D" w:rsidP="00C23D7D">
            <w:r w:rsidRPr="008940B9">
              <w:t>Not allowed</w:t>
            </w:r>
          </w:p>
        </w:tc>
      </w:tr>
      <w:tr w:rsidR="00C23D7D" w14:paraId="3D5E7466" w14:textId="77777777" w:rsidTr="00264B34">
        <w:tc>
          <w:tcPr>
            <w:tcW w:w="3369" w:type="dxa"/>
          </w:tcPr>
          <w:p w14:paraId="7BF84C8B" w14:textId="77777777" w:rsidR="00C23D7D" w:rsidRDefault="00C23D7D" w:rsidP="00C23D7D">
            <w:r w:rsidRPr="008940B9">
              <w:t>Stationery</w:t>
            </w:r>
          </w:p>
        </w:tc>
        <w:tc>
          <w:tcPr>
            <w:tcW w:w="2835" w:type="dxa"/>
          </w:tcPr>
          <w:p w14:paraId="7F9D7BA2" w14:textId="77777777" w:rsidR="00C23D7D" w:rsidRDefault="00C23D7D" w:rsidP="00C23D7D">
            <w:r w:rsidRPr="008940B9">
              <w:t> </w:t>
            </w:r>
          </w:p>
        </w:tc>
        <w:tc>
          <w:tcPr>
            <w:tcW w:w="3118" w:type="dxa"/>
          </w:tcPr>
          <w:p w14:paraId="579D01E4" w14:textId="77777777" w:rsidR="00C23D7D" w:rsidRDefault="00C23D7D" w:rsidP="00C23D7D">
            <w:r w:rsidRPr="008940B9">
              <w:t>Not allowed</w:t>
            </w:r>
          </w:p>
        </w:tc>
      </w:tr>
      <w:tr w:rsidR="00C23D7D" w14:paraId="60F2A576" w14:textId="77777777" w:rsidTr="009F405A">
        <w:tc>
          <w:tcPr>
            <w:tcW w:w="3369" w:type="dxa"/>
          </w:tcPr>
          <w:p w14:paraId="3DF504EA" w14:textId="77777777" w:rsidR="00C23D7D" w:rsidRDefault="00C23D7D" w:rsidP="009F405A">
            <w:r>
              <w:t>Subscriptions to AI tools (</w:t>
            </w:r>
            <w:proofErr w:type="spellStart"/>
            <w:r>
              <w:t>eg</w:t>
            </w:r>
            <w:proofErr w:type="spellEnd"/>
            <w:r>
              <w:t xml:space="preserve"> Chat GPT, Microsoft Copilot)</w:t>
            </w:r>
          </w:p>
        </w:tc>
        <w:tc>
          <w:tcPr>
            <w:tcW w:w="2835" w:type="dxa"/>
          </w:tcPr>
          <w:p w14:paraId="7BCA5CBF" w14:textId="77777777" w:rsidR="00C23D7D" w:rsidRDefault="00C23D7D" w:rsidP="009F405A"/>
        </w:tc>
        <w:tc>
          <w:tcPr>
            <w:tcW w:w="3118" w:type="dxa"/>
          </w:tcPr>
          <w:p w14:paraId="1D550021" w14:textId="77777777" w:rsidR="00C23D7D" w:rsidRDefault="00C23D7D" w:rsidP="009F405A">
            <w:r>
              <w:t>Not allowed</w:t>
            </w:r>
          </w:p>
        </w:tc>
      </w:tr>
      <w:tr w:rsidR="00C23D7D" w14:paraId="3FA30A6C" w14:textId="77777777" w:rsidTr="00264B34">
        <w:tc>
          <w:tcPr>
            <w:tcW w:w="3369" w:type="dxa"/>
          </w:tcPr>
          <w:p w14:paraId="6BA44E76" w14:textId="77777777" w:rsidR="00C23D7D" w:rsidRDefault="00C23D7D" w:rsidP="00C23D7D">
            <w:r w:rsidRPr="008940B9">
              <w:t>Utilities costs (</w:t>
            </w:r>
            <w:proofErr w:type="spellStart"/>
            <w:r w:rsidRPr="008940B9">
              <w:t>eg</w:t>
            </w:r>
            <w:proofErr w:type="spellEnd"/>
            <w:r w:rsidRPr="008940B9">
              <w:t xml:space="preserve"> electricity, gas, water)</w:t>
            </w:r>
          </w:p>
        </w:tc>
        <w:tc>
          <w:tcPr>
            <w:tcW w:w="2835" w:type="dxa"/>
          </w:tcPr>
          <w:p w14:paraId="1962E3CE" w14:textId="77777777" w:rsidR="00C23D7D" w:rsidRDefault="00C23D7D" w:rsidP="00C23D7D"/>
        </w:tc>
        <w:tc>
          <w:tcPr>
            <w:tcW w:w="3118" w:type="dxa"/>
          </w:tcPr>
          <w:p w14:paraId="01CA0EB6" w14:textId="77777777" w:rsidR="00C23D7D" w:rsidRDefault="00C23D7D" w:rsidP="00C23D7D">
            <w:r w:rsidRPr="008940B9">
              <w:t>Not allowed</w:t>
            </w:r>
          </w:p>
        </w:tc>
      </w:tr>
      <w:tr w:rsidR="00C23D7D" w14:paraId="23D401A3" w14:textId="77777777" w:rsidTr="00264B34">
        <w:tc>
          <w:tcPr>
            <w:tcW w:w="3369" w:type="dxa"/>
          </w:tcPr>
          <w:p w14:paraId="6CD3B4D0" w14:textId="77777777" w:rsidR="00C23D7D" w:rsidRDefault="00C23D7D" w:rsidP="00C23D7D">
            <w:r w:rsidRPr="008940B9">
              <w:t>Mobile phones, telephone and internet costs</w:t>
            </w:r>
          </w:p>
        </w:tc>
        <w:tc>
          <w:tcPr>
            <w:tcW w:w="2835" w:type="dxa"/>
          </w:tcPr>
          <w:p w14:paraId="10CC8FC5" w14:textId="77777777" w:rsidR="00C23D7D" w:rsidRDefault="00C23D7D" w:rsidP="00C23D7D"/>
        </w:tc>
        <w:tc>
          <w:tcPr>
            <w:tcW w:w="3118" w:type="dxa"/>
          </w:tcPr>
          <w:p w14:paraId="12B423F4" w14:textId="77777777" w:rsidR="00C23D7D" w:rsidRDefault="00C23D7D" w:rsidP="00C23D7D">
            <w:r w:rsidRPr="008940B9">
              <w:t>Not allowed</w:t>
            </w:r>
          </w:p>
        </w:tc>
      </w:tr>
      <w:tr w:rsidR="00C23D7D" w14:paraId="093D1AB5" w14:textId="77777777" w:rsidTr="00264B34">
        <w:tc>
          <w:tcPr>
            <w:tcW w:w="3369" w:type="dxa"/>
          </w:tcPr>
          <w:p w14:paraId="1C2A34A4" w14:textId="77777777" w:rsidR="00C23D7D" w:rsidRDefault="00C23D7D" w:rsidP="00C23D7D">
            <w:r w:rsidRPr="008940B9">
              <w:t>Insurance (</w:t>
            </w:r>
            <w:proofErr w:type="spellStart"/>
            <w:r w:rsidRPr="008940B9">
              <w:t>eg</w:t>
            </w:r>
            <w:proofErr w:type="spellEnd"/>
            <w:r w:rsidRPr="008940B9">
              <w:t xml:space="preserve"> travel, IT equipment)</w:t>
            </w:r>
          </w:p>
        </w:tc>
        <w:tc>
          <w:tcPr>
            <w:tcW w:w="2835" w:type="dxa"/>
          </w:tcPr>
          <w:p w14:paraId="1A323B9E" w14:textId="77777777" w:rsidR="00C23D7D" w:rsidRDefault="00C23D7D" w:rsidP="00C23D7D"/>
        </w:tc>
        <w:tc>
          <w:tcPr>
            <w:tcW w:w="3118" w:type="dxa"/>
          </w:tcPr>
          <w:p w14:paraId="1425CD2E" w14:textId="77777777" w:rsidR="00C23D7D" w:rsidRDefault="00C23D7D" w:rsidP="00C23D7D">
            <w:r w:rsidRPr="008940B9">
              <w:t>Not allowed</w:t>
            </w:r>
          </w:p>
        </w:tc>
      </w:tr>
      <w:tr w:rsidR="00C23D7D" w14:paraId="23B91403" w14:textId="77777777" w:rsidTr="00264B34">
        <w:tc>
          <w:tcPr>
            <w:tcW w:w="3369" w:type="dxa"/>
          </w:tcPr>
          <w:p w14:paraId="0CDF4F90" w14:textId="77777777" w:rsidR="00C23D7D" w:rsidRDefault="00C23D7D" w:rsidP="00C23D7D">
            <w:r>
              <w:t>Catering</w:t>
            </w:r>
          </w:p>
        </w:tc>
        <w:tc>
          <w:tcPr>
            <w:tcW w:w="2835" w:type="dxa"/>
          </w:tcPr>
          <w:p w14:paraId="6DFC098C" w14:textId="77777777" w:rsidR="00C23D7D" w:rsidRPr="004B0390" w:rsidRDefault="00C23D7D" w:rsidP="00C23D7D">
            <w:pPr>
              <w:rPr>
                <w:highlight w:val="yellow"/>
              </w:rPr>
            </w:pPr>
          </w:p>
        </w:tc>
        <w:tc>
          <w:tcPr>
            <w:tcW w:w="3118" w:type="dxa"/>
          </w:tcPr>
          <w:p w14:paraId="79072F93" w14:textId="77777777" w:rsidR="00C23D7D" w:rsidRDefault="00C23D7D" w:rsidP="00C23D7D">
            <w:r>
              <w:t>Not allowed</w:t>
            </w:r>
          </w:p>
        </w:tc>
      </w:tr>
      <w:tr w:rsidR="00C23D7D" w:rsidRPr="00A66128" w14:paraId="6A6CCB4A" w14:textId="77777777" w:rsidTr="004B0390">
        <w:tc>
          <w:tcPr>
            <w:tcW w:w="3369" w:type="dxa"/>
          </w:tcPr>
          <w:p w14:paraId="5132FC5F" w14:textId="77777777" w:rsidR="00C23D7D" w:rsidRPr="00A66128" w:rsidRDefault="00C23D7D" w:rsidP="00C23D7D">
            <w:pPr>
              <w:rPr>
                <w:rFonts w:cstheme="minorHAnsi"/>
              </w:rPr>
            </w:pPr>
            <w:r>
              <w:rPr>
                <w:rFonts w:cstheme="minorHAnsi"/>
              </w:rPr>
              <w:lastRenderedPageBreak/>
              <w:t>Staff events (</w:t>
            </w:r>
            <w:proofErr w:type="spellStart"/>
            <w:r>
              <w:rPr>
                <w:rFonts w:cstheme="minorHAnsi"/>
              </w:rPr>
              <w:t>eg</w:t>
            </w:r>
            <w:proofErr w:type="spellEnd"/>
            <w:r>
              <w:rPr>
                <w:rFonts w:cstheme="minorHAnsi"/>
              </w:rPr>
              <w:t xml:space="preserve"> Away Days, socials)</w:t>
            </w:r>
          </w:p>
        </w:tc>
        <w:tc>
          <w:tcPr>
            <w:tcW w:w="2835" w:type="dxa"/>
          </w:tcPr>
          <w:p w14:paraId="2C08AABF" w14:textId="77777777" w:rsidR="00C23D7D" w:rsidRPr="00A66128" w:rsidRDefault="00C23D7D" w:rsidP="00C23D7D">
            <w:pPr>
              <w:rPr>
                <w:rFonts w:cstheme="minorHAnsi"/>
              </w:rPr>
            </w:pPr>
          </w:p>
        </w:tc>
        <w:tc>
          <w:tcPr>
            <w:tcW w:w="3118" w:type="dxa"/>
          </w:tcPr>
          <w:p w14:paraId="638B19E1" w14:textId="77777777" w:rsidR="00C23D7D" w:rsidRPr="00963D6B" w:rsidRDefault="00C23D7D" w:rsidP="00C23D7D">
            <w:pPr>
              <w:rPr>
                <w:rFonts w:cstheme="minorHAnsi"/>
              </w:rPr>
            </w:pPr>
            <w:r>
              <w:rPr>
                <w:rFonts w:cstheme="minorHAnsi"/>
              </w:rPr>
              <w:t>Not allowed</w:t>
            </w:r>
          </w:p>
        </w:tc>
      </w:tr>
      <w:tr w:rsidR="00C23D7D" w:rsidRPr="00A66128" w14:paraId="66B830CE" w14:textId="77777777" w:rsidTr="005F0EEA">
        <w:tc>
          <w:tcPr>
            <w:tcW w:w="3369" w:type="dxa"/>
          </w:tcPr>
          <w:p w14:paraId="4F984326" w14:textId="50EA2B92" w:rsidR="00C23D7D" w:rsidRPr="00A66128" w:rsidRDefault="00C23D7D" w:rsidP="00C23D7D">
            <w:pPr>
              <w:rPr>
                <w:rFonts w:cstheme="minorHAnsi"/>
              </w:rPr>
            </w:pPr>
            <w:r>
              <w:rPr>
                <w:rFonts w:cstheme="minorHAnsi"/>
              </w:rPr>
              <w:t>Insufficiently evidenced costs (no copy of invoice or receipt)</w:t>
            </w:r>
          </w:p>
        </w:tc>
        <w:tc>
          <w:tcPr>
            <w:tcW w:w="2835" w:type="dxa"/>
          </w:tcPr>
          <w:p w14:paraId="1F54EE09" w14:textId="3E912FC0" w:rsidR="00C23D7D" w:rsidRPr="00A66128" w:rsidRDefault="00C23D7D" w:rsidP="00C23D7D">
            <w:pPr>
              <w:rPr>
                <w:rFonts w:cstheme="minorHAnsi"/>
              </w:rPr>
            </w:pPr>
          </w:p>
        </w:tc>
        <w:tc>
          <w:tcPr>
            <w:tcW w:w="3118" w:type="dxa"/>
          </w:tcPr>
          <w:p w14:paraId="183C91F5" w14:textId="62E1A21A" w:rsidR="00C23D7D" w:rsidRPr="00963D6B" w:rsidRDefault="00C23D7D" w:rsidP="00C23D7D">
            <w:pPr>
              <w:rPr>
                <w:rFonts w:cstheme="minorHAnsi"/>
              </w:rPr>
            </w:pPr>
            <w:r>
              <w:rPr>
                <w:rFonts w:cstheme="minorHAnsi"/>
              </w:rPr>
              <w:t>Not allowed</w:t>
            </w:r>
          </w:p>
        </w:tc>
      </w:tr>
    </w:tbl>
    <w:p w14:paraId="13F2F1A1" w14:textId="77777777" w:rsidR="00903980" w:rsidRDefault="00903980" w:rsidP="006A613D">
      <w:pPr>
        <w:spacing w:after="0" w:line="240" w:lineRule="auto"/>
        <w:rPr>
          <w:sz w:val="16"/>
          <w:szCs w:val="16"/>
        </w:rPr>
      </w:pPr>
      <w:r w:rsidRPr="006A613D">
        <w:rPr>
          <w:sz w:val="16"/>
          <w:szCs w:val="16"/>
        </w:rPr>
        <w:t xml:space="preserve"> </w:t>
      </w:r>
    </w:p>
    <w:p w14:paraId="1BCE83CE" w14:textId="77777777" w:rsidR="00532DB1" w:rsidRDefault="00532DB1" w:rsidP="00532DB1">
      <w:pPr>
        <w:rPr>
          <w:color w:val="000000"/>
        </w:rPr>
      </w:pPr>
    </w:p>
    <w:p w14:paraId="7E5C2EFF" w14:textId="2886CA79" w:rsidR="006A613D" w:rsidRPr="006A613D" w:rsidRDefault="00CB399E" w:rsidP="00A66128">
      <w:pPr>
        <w:spacing w:after="0" w:line="240" w:lineRule="auto"/>
        <w:rPr>
          <w:sz w:val="16"/>
          <w:szCs w:val="16"/>
        </w:rPr>
      </w:pPr>
      <w:r>
        <w:rPr>
          <w:rFonts w:ascii="Trebuchet MS" w:eastAsia="Times New Roman" w:hAnsi="Trebuchet MS" w:cs="Times New Roman"/>
          <w:color w:val="333333"/>
          <w:sz w:val="20"/>
          <w:szCs w:val="20"/>
          <w:lang w:eastAsia="en-GB"/>
        </w:rPr>
        <w:t>March 2026</w:t>
      </w:r>
    </w:p>
    <w:sectPr w:rsidR="006A613D" w:rsidRPr="006A613D">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B57E" w14:textId="77777777" w:rsidR="00320F10" w:rsidRDefault="00320F10" w:rsidP="00320F10">
      <w:pPr>
        <w:spacing w:after="0" w:line="240" w:lineRule="auto"/>
      </w:pPr>
      <w:r>
        <w:separator/>
      </w:r>
    </w:p>
  </w:endnote>
  <w:endnote w:type="continuationSeparator" w:id="0">
    <w:p w14:paraId="56EF370E" w14:textId="77777777" w:rsidR="00320F10" w:rsidRDefault="00320F10" w:rsidP="0032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3C4F" w14:textId="107CB9D7" w:rsidR="00320F10" w:rsidRDefault="00320F10">
    <w:pPr>
      <w:pStyle w:val="Footer"/>
    </w:pPr>
    <w:r>
      <w:rPr>
        <w:noProof/>
      </w:rPr>
      <mc:AlternateContent>
        <mc:Choice Requires="wps">
          <w:drawing>
            <wp:anchor distT="0" distB="0" distL="0" distR="0" simplePos="0" relativeHeight="251659264" behindDoc="0" locked="0" layoutInCell="1" allowOverlap="1" wp14:anchorId="1BF2248E" wp14:editId="20F98447">
              <wp:simplePos x="635" y="635"/>
              <wp:positionH relativeFrom="page">
                <wp:align>left</wp:align>
              </wp:positionH>
              <wp:positionV relativeFrom="page">
                <wp:align>bottom</wp:align>
              </wp:positionV>
              <wp:extent cx="700405" cy="386715"/>
              <wp:effectExtent l="0" t="0" r="4445" b="0"/>
              <wp:wrapNone/>
              <wp:docPr id="49899129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0405" cy="386715"/>
                      </a:xfrm>
                      <a:prstGeom prst="rect">
                        <a:avLst/>
                      </a:prstGeom>
                      <a:noFill/>
                      <a:ln>
                        <a:noFill/>
                      </a:ln>
                    </wps:spPr>
                    <wps:txbx>
                      <w:txbxContent>
                        <w:p w14:paraId="10F7E143" w14:textId="108971E7" w:rsidR="00320F10" w:rsidRPr="00320F10" w:rsidRDefault="00320F10" w:rsidP="00320F10">
                          <w:pPr>
                            <w:spacing w:after="0"/>
                            <w:rPr>
                              <w:rFonts w:ascii="Calibri" w:eastAsia="Calibri" w:hAnsi="Calibri" w:cs="Calibri"/>
                              <w:noProof/>
                              <w:color w:val="000000"/>
                            </w:rPr>
                          </w:pPr>
                          <w:r w:rsidRPr="00320F10">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F2248E" id="_x0000_t202" coordsize="21600,21600" o:spt="202" path="m,l,21600r21600,l21600,xe">
              <v:stroke joinstyle="miter"/>
              <v:path gradientshapeok="t" o:connecttype="rect"/>
            </v:shapetype>
            <v:shape id="Text Box 2" o:spid="_x0000_s1026" type="#_x0000_t202" alt="Internal" style="position:absolute;margin-left:0;margin-top:0;width:55.15pt;height:30.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" filled="f" stroked="f">
              <v:textbox style="mso-fit-shape-to-text:t" inset="20pt,0,0,15pt">
                <w:txbxContent>
                  <w:p w14:paraId="10F7E143" w14:textId="108971E7" w:rsidR="00320F10" w:rsidRPr="00320F10" w:rsidRDefault="00320F10" w:rsidP="00320F10">
                    <w:pPr>
                      <w:spacing w:after="0"/>
                      <w:rPr>
                        <w:rFonts w:ascii="Calibri" w:eastAsia="Calibri" w:hAnsi="Calibri" w:cs="Calibri"/>
                        <w:noProof/>
                        <w:color w:val="000000"/>
                      </w:rPr>
                    </w:pPr>
                    <w:r w:rsidRPr="00320F10">
                      <w:rPr>
                        <w:rFonts w:ascii="Calibri" w:eastAsia="Calibri" w:hAnsi="Calibri" w:cs="Calibri"/>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5C1A" w14:textId="029B87EE" w:rsidR="00320F10" w:rsidRDefault="00320F10">
    <w:pPr>
      <w:pStyle w:val="Footer"/>
    </w:pPr>
    <w:r>
      <w:rPr>
        <w:noProof/>
      </w:rPr>
      <mc:AlternateContent>
        <mc:Choice Requires="wps">
          <w:drawing>
            <wp:anchor distT="0" distB="0" distL="0" distR="0" simplePos="0" relativeHeight="251660288" behindDoc="0" locked="0" layoutInCell="1" allowOverlap="1" wp14:anchorId="23BA5828" wp14:editId="3FD703BE">
              <wp:simplePos x="914400" y="10071100"/>
              <wp:positionH relativeFrom="page">
                <wp:align>left</wp:align>
              </wp:positionH>
              <wp:positionV relativeFrom="page">
                <wp:align>bottom</wp:align>
              </wp:positionV>
              <wp:extent cx="700405" cy="386715"/>
              <wp:effectExtent l="0" t="0" r="4445" b="0"/>
              <wp:wrapNone/>
              <wp:docPr id="559013295"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0405" cy="386715"/>
                      </a:xfrm>
                      <a:prstGeom prst="rect">
                        <a:avLst/>
                      </a:prstGeom>
                      <a:noFill/>
                      <a:ln>
                        <a:noFill/>
                      </a:ln>
                    </wps:spPr>
                    <wps:txbx>
                      <w:txbxContent>
                        <w:p w14:paraId="0949132B" w14:textId="5371146A" w:rsidR="00320F10" w:rsidRPr="00320F10" w:rsidRDefault="00320F10" w:rsidP="00320F10">
                          <w:pPr>
                            <w:spacing w:after="0"/>
                            <w:rPr>
                              <w:rFonts w:ascii="Calibri" w:eastAsia="Calibri" w:hAnsi="Calibri" w:cs="Calibri"/>
                              <w:noProof/>
                              <w:color w:val="000000"/>
                            </w:rPr>
                          </w:pPr>
                          <w:r w:rsidRPr="00320F10">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BA5828" id="_x0000_t202" coordsize="21600,21600" o:spt="202" path="m,l,21600r21600,l21600,xe">
              <v:stroke joinstyle="miter"/>
              <v:path gradientshapeok="t" o:connecttype="rect"/>
            </v:shapetype>
            <v:shape id="Text Box 3" o:spid="_x0000_s1027" type="#_x0000_t202" alt="Internal" style="position:absolute;margin-left:0;margin-top:0;width:55.15pt;height:30.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" filled="f" stroked="f">
              <v:textbox style="mso-fit-shape-to-text:t" inset="20pt,0,0,15pt">
                <w:txbxContent>
                  <w:p w14:paraId="0949132B" w14:textId="5371146A" w:rsidR="00320F10" w:rsidRPr="00320F10" w:rsidRDefault="00320F10" w:rsidP="00320F10">
                    <w:pPr>
                      <w:spacing w:after="0"/>
                      <w:rPr>
                        <w:rFonts w:ascii="Calibri" w:eastAsia="Calibri" w:hAnsi="Calibri" w:cs="Calibri"/>
                        <w:noProof/>
                        <w:color w:val="000000"/>
                      </w:rPr>
                    </w:pPr>
                    <w:r w:rsidRPr="00320F10">
                      <w:rPr>
                        <w:rFonts w:ascii="Calibri" w:eastAsia="Calibri" w:hAnsi="Calibri" w:cs="Calibri"/>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B866" w14:textId="4CAC80DE" w:rsidR="00320F10" w:rsidRDefault="00320F10">
    <w:pPr>
      <w:pStyle w:val="Footer"/>
    </w:pPr>
    <w:r>
      <w:rPr>
        <w:noProof/>
      </w:rPr>
      <mc:AlternateContent>
        <mc:Choice Requires="wps">
          <w:drawing>
            <wp:anchor distT="0" distB="0" distL="0" distR="0" simplePos="0" relativeHeight="251658240" behindDoc="0" locked="0" layoutInCell="1" allowOverlap="1" wp14:anchorId="10D8AAA1" wp14:editId="5ECEF857">
              <wp:simplePos x="635" y="635"/>
              <wp:positionH relativeFrom="page">
                <wp:align>left</wp:align>
              </wp:positionH>
              <wp:positionV relativeFrom="page">
                <wp:align>bottom</wp:align>
              </wp:positionV>
              <wp:extent cx="700405" cy="386715"/>
              <wp:effectExtent l="0" t="0" r="4445" b="0"/>
              <wp:wrapNone/>
              <wp:docPr id="1753909942"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0405" cy="386715"/>
                      </a:xfrm>
                      <a:prstGeom prst="rect">
                        <a:avLst/>
                      </a:prstGeom>
                      <a:noFill/>
                      <a:ln>
                        <a:noFill/>
                      </a:ln>
                    </wps:spPr>
                    <wps:txbx>
                      <w:txbxContent>
                        <w:p w14:paraId="798BBCE3" w14:textId="00DA47AE" w:rsidR="00320F10" w:rsidRPr="00320F10" w:rsidRDefault="00320F10" w:rsidP="00320F10">
                          <w:pPr>
                            <w:spacing w:after="0"/>
                            <w:rPr>
                              <w:rFonts w:ascii="Calibri" w:eastAsia="Calibri" w:hAnsi="Calibri" w:cs="Calibri"/>
                              <w:noProof/>
                              <w:color w:val="000000"/>
                            </w:rPr>
                          </w:pPr>
                          <w:r w:rsidRPr="00320F10">
                            <w:rPr>
                              <w:rFonts w:ascii="Calibri" w:eastAsia="Calibri" w:hAnsi="Calibri" w:cs="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D8AAA1" id="_x0000_t202" coordsize="21600,21600" o:spt="202" path="m,l,21600r21600,l21600,xe">
              <v:stroke joinstyle="miter"/>
              <v:path gradientshapeok="t" o:connecttype="rect"/>
            </v:shapetype>
            <v:shape id="Text Box 1" o:spid="_x0000_s1028" type="#_x0000_t202" alt="Internal" style="position:absolute;margin-left:0;margin-top:0;width:55.15pt;height:30.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" filled="f" stroked="f">
              <v:textbox style="mso-fit-shape-to-text:t" inset="20pt,0,0,15pt">
                <w:txbxContent>
                  <w:p w14:paraId="798BBCE3" w14:textId="00DA47AE" w:rsidR="00320F10" w:rsidRPr="00320F10" w:rsidRDefault="00320F10" w:rsidP="00320F10">
                    <w:pPr>
                      <w:spacing w:after="0"/>
                      <w:rPr>
                        <w:rFonts w:ascii="Calibri" w:eastAsia="Calibri" w:hAnsi="Calibri" w:cs="Calibri"/>
                        <w:noProof/>
                        <w:color w:val="000000"/>
                      </w:rPr>
                    </w:pPr>
                    <w:r w:rsidRPr="00320F10">
                      <w:rPr>
                        <w:rFonts w:ascii="Calibri" w:eastAsia="Calibri" w:hAnsi="Calibri" w:cs="Calibri"/>
                        <w:noProof/>
                        <w:color w:val="00000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C021" w14:textId="77777777" w:rsidR="00320F10" w:rsidRDefault="00320F10" w:rsidP="00320F10">
      <w:pPr>
        <w:spacing w:after="0" w:line="240" w:lineRule="auto"/>
      </w:pPr>
      <w:r>
        <w:separator/>
      </w:r>
    </w:p>
  </w:footnote>
  <w:footnote w:type="continuationSeparator" w:id="0">
    <w:p w14:paraId="20F2DC75" w14:textId="77777777" w:rsidR="00320F10" w:rsidRDefault="00320F10" w:rsidP="00320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0987"/>
    <w:multiLevelType w:val="hybridMultilevel"/>
    <w:tmpl w:val="6C509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646F0F"/>
    <w:multiLevelType w:val="multilevel"/>
    <w:tmpl w:val="DA9C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B4B05"/>
    <w:multiLevelType w:val="multilevel"/>
    <w:tmpl w:val="6980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62A37"/>
    <w:multiLevelType w:val="multilevel"/>
    <w:tmpl w:val="8222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2C7C09"/>
    <w:multiLevelType w:val="multilevel"/>
    <w:tmpl w:val="6C68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808235">
    <w:abstractNumId w:val="0"/>
  </w:num>
  <w:num w:numId="2" w16cid:durableId="1241716393">
    <w:abstractNumId w:val="2"/>
  </w:num>
  <w:num w:numId="3" w16cid:durableId="803884523">
    <w:abstractNumId w:val="1"/>
  </w:num>
  <w:num w:numId="4" w16cid:durableId="129175716">
    <w:abstractNumId w:val="3"/>
  </w:num>
  <w:num w:numId="5" w16cid:durableId="596640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FB"/>
    <w:rsid w:val="00006082"/>
    <w:rsid w:val="000131AC"/>
    <w:rsid w:val="000262FD"/>
    <w:rsid w:val="00033977"/>
    <w:rsid w:val="00034417"/>
    <w:rsid w:val="00035AF3"/>
    <w:rsid w:val="00050CA1"/>
    <w:rsid w:val="00073503"/>
    <w:rsid w:val="00080AA4"/>
    <w:rsid w:val="000841B0"/>
    <w:rsid w:val="000965E9"/>
    <w:rsid w:val="000A0F88"/>
    <w:rsid w:val="000B23CD"/>
    <w:rsid w:val="000C24A4"/>
    <w:rsid w:val="000C51A3"/>
    <w:rsid w:val="000C5DFB"/>
    <w:rsid w:val="000E3270"/>
    <w:rsid w:val="000E3C71"/>
    <w:rsid w:val="000E43F9"/>
    <w:rsid w:val="00124212"/>
    <w:rsid w:val="001358BD"/>
    <w:rsid w:val="00141E99"/>
    <w:rsid w:val="00155842"/>
    <w:rsid w:val="00167A7B"/>
    <w:rsid w:val="00167F8C"/>
    <w:rsid w:val="00175B60"/>
    <w:rsid w:val="00175BD4"/>
    <w:rsid w:val="001808F7"/>
    <w:rsid w:val="00190E3A"/>
    <w:rsid w:val="00194AA5"/>
    <w:rsid w:val="001B1B9F"/>
    <w:rsid w:val="001B53A9"/>
    <w:rsid w:val="001B61F0"/>
    <w:rsid w:val="00251889"/>
    <w:rsid w:val="00256F27"/>
    <w:rsid w:val="00271410"/>
    <w:rsid w:val="002738DB"/>
    <w:rsid w:val="0029526E"/>
    <w:rsid w:val="002A66A6"/>
    <w:rsid w:val="002B559A"/>
    <w:rsid w:val="002B6A20"/>
    <w:rsid w:val="002D4C4D"/>
    <w:rsid w:val="002E3EFE"/>
    <w:rsid w:val="002F7809"/>
    <w:rsid w:val="00313E39"/>
    <w:rsid w:val="00320F10"/>
    <w:rsid w:val="00331782"/>
    <w:rsid w:val="00331915"/>
    <w:rsid w:val="003628DA"/>
    <w:rsid w:val="0036315A"/>
    <w:rsid w:val="00371C2A"/>
    <w:rsid w:val="00374D96"/>
    <w:rsid w:val="00391E0F"/>
    <w:rsid w:val="003A42C1"/>
    <w:rsid w:val="003D041F"/>
    <w:rsid w:val="003D7909"/>
    <w:rsid w:val="003E1024"/>
    <w:rsid w:val="00401EEB"/>
    <w:rsid w:val="00442173"/>
    <w:rsid w:val="00444043"/>
    <w:rsid w:val="00446A7B"/>
    <w:rsid w:val="00450123"/>
    <w:rsid w:val="00454C10"/>
    <w:rsid w:val="00465C00"/>
    <w:rsid w:val="004906FE"/>
    <w:rsid w:val="0049122E"/>
    <w:rsid w:val="004A0B21"/>
    <w:rsid w:val="004B0747"/>
    <w:rsid w:val="004B30A1"/>
    <w:rsid w:val="004D1364"/>
    <w:rsid w:val="004D3BBC"/>
    <w:rsid w:val="004E010D"/>
    <w:rsid w:val="004F06D0"/>
    <w:rsid w:val="005170B1"/>
    <w:rsid w:val="00525DC5"/>
    <w:rsid w:val="005313AD"/>
    <w:rsid w:val="00532DB1"/>
    <w:rsid w:val="0053582C"/>
    <w:rsid w:val="005371FB"/>
    <w:rsid w:val="00571215"/>
    <w:rsid w:val="005A7345"/>
    <w:rsid w:val="005B3B4D"/>
    <w:rsid w:val="005C081F"/>
    <w:rsid w:val="005C1E05"/>
    <w:rsid w:val="005F68B3"/>
    <w:rsid w:val="00603244"/>
    <w:rsid w:val="0060455A"/>
    <w:rsid w:val="006234B6"/>
    <w:rsid w:val="0062719D"/>
    <w:rsid w:val="00633023"/>
    <w:rsid w:val="00636CE3"/>
    <w:rsid w:val="00643784"/>
    <w:rsid w:val="00660362"/>
    <w:rsid w:val="00677F05"/>
    <w:rsid w:val="006873A9"/>
    <w:rsid w:val="006A613D"/>
    <w:rsid w:val="006B0752"/>
    <w:rsid w:val="006B4286"/>
    <w:rsid w:val="006C7BA8"/>
    <w:rsid w:val="006D61EC"/>
    <w:rsid w:val="00707B59"/>
    <w:rsid w:val="00715B4F"/>
    <w:rsid w:val="00720EE8"/>
    <w:rsid w:val="007267C7"/>
    <w:rsid w:val="00726CA3"/>
    <w:rsid w:val="00745D13"/>
    <w:rsid w:val="00747930"/>
    <w:rsid w:val="0076380F"/>
    <w:rsid w:val="00766B94"/>
    <w:rsid w:val="00773892"/>
    <w:rsid w:val="00773DC7"/>
    <w:rsid w:val="0077401C"/>
    <w:rsid w:val="00774F5E"/>
    <w:rsid w:val="00784445"/>
    <w:rsid w:val="00790DF4"/>
    <w:rsid w:val="00794624"/>
    <w:rsid w:val="007A0385"/>
    <w:rsid w:val="007A4C63"/>
    <w:rsid w:val="007C5F1D"/>
    <w:rsid w:val="007D4B31"/>
    <w:rsid w:val="0081263D"/>
    <w:rsid w:val="00831C9B"/>
    <w:rsid w:val="008420B5"/>
    <w:rsid w:val="00856112"/>
    <w:rsid w:val="00867118"/>
    <w:rsid w:val="00882FAB"/>
    <w:rsid w:val="008B371A"/>
    <w:rsid w:val="008D1188"/>
    <w:rsid w:val="008D5287"/>
    <w:rsid w:val="008D620E"/>
    <w:rsid w:val="00900B2C"/>
    <w:rsid w:val="00903980"/>
    <w:rsid w:val="00907181"/>
    <w:rsid w:val="00913238"/>
    <w:rsid w:val="00916DD2"/>
    <w:rsid w:val="00923671"/>
    <w:rsid w:val="009255B3"/>
    <w:rsid w:val="00956221"/>
    <w:rsid w:val="00963D6B"/>
    <w:rsid w:val="009726F3"/>
    <w:rsid w:val="009813C3"/>
    <w:rsid w:val="009855EF"/>
    <w:rsid w:val="0099028D"/>
    <w:rsid w:val="009A280A"/>
    <w:rsid w:val="009A3927"/>
    <w:rsid w:val="009B0AE4"/>
    <w:rsid w:val="009D479C"/>
    <w:rsid w:val="009F1202"/>
    <w:rsid w:val="00A026C3"/>
    <w:rsid w:val="00A07CAF"/>
    <w:rsid w:val="00A113B0"/>
    <w:rsid w:val="00A13581"/>
    <w:rsid w:val="00A17374"/>
    <w:rsid w:val="00A25F48"/>
    <w:rsid w:val="00A340A3"/>
    <w:rsid w:val="00A47F5D"/>
    <w:rsid w:val="00A50929"/>
    <w:rsid w:val="00A56BDD"/>
    <w:rsid w:val="00A57F32"/>
    <w:rsid w:val="00A608B2"/>
    <w:rsid w:val="00A6108B"/>
    <w:rsid w:val="00A61EFB"/>
    <w:rsid w:val="00A651E5"/>
    <w:rsid w:val="00A66128"/>
    <w:rsid w:val="00A762CE"/>
    <w:rsid w:val="00A76B74"/>
    <w:rsid w:val="00A80D52"/>
    <w:rsid w:val="00A97162"/>
    <w:rsid w:val="00AA698A"/>
    <w:rsid w:val="00AC1A0F"/>
    <w:rsid w:val="00AC339E"/>
    <w:rsid w:val="00AC3E2E"/>
    <w:rsid w:val="00AD5B74"/>
    <w:rsid w:val="00AD7FE9"/>
    <w:rsid w:val="00AF3812"/>
    <w:rsid w:val="00AF6C3E"/>
    <w:rsid w:val="00B11D7E"/>
    <w:rsid w:val="00B128FD"/>
    <w:rsid w:val="00B238ED"/>
    <w:rsid w:val="00B30524"/>
    <w:rsid w:val="00B33775"/>
    <w:rsid w:val="00B47FD5"/>
    <w:rsid w:val="00B51768"/>
    <w:rsid w:val="00B55EFC"/>
    <w:rsid w:val="00B60BA9"/>
    <w:rsid w:val="00B67108"/>
    <w:rsid w:val="00B96247"/>
    <w:rsid w:val="00BB290F"/>
    <w:rsid w:val="00BC222C"/>
    <w:rsid w:val="00BD2D1D"/>
    <w:rsid w:val="00BE066B"/>
    <w:rsid w:val="00BE6D9D"/>
    <w:rsid w:val="00BF5E3D"/>
    <w:rsid w:val="00BF7F9F"/>
    <w:rsid w:val="00C001B3"/>
    <w:rsid w:val="00C13D49"/>
    <w:rsid w:val="00C23D7D"/>
    <w:rsid w:val="00C268C5"/>
    <w:rsid w:val="00C34D36"/>
    <w:rsid w:val="00C36C86"/>
    <w:rsid w:val="00C40D0E"/>
    <w:rsid w:val="00C47C7F"/>
    <w:rsid w:val="00C47E5B"/>
    <w:rsid w:val="00C63D10"/>
    <w:rsid w:val="00C70866"/>
    <w:rsid w:val="00C802FD"/>
    <w:rsid w:val="00C81843"/>
    <w:rsid w:val="00C8674A"/>
    <w:rsid w:val="00CA46EE"/>
    <w:rsid w:val="00CB399E"/>
    <w:rsid w:val="00CC2993"/>
    <w:rsid w:val="00CC719B"/>
    <w:rsid w:val="00D01624"/>
    <w:rsid w:val="00D0471B"/>
    <w:rsid w:val="00D05D0A"/>
    <w:rsid w:val="00D117FC"/>
    <w:rsid w:val="00D11B18"/>
    <w:rsid w:val="00D146C5"/>
    <w:rsid w:val="00D169EA"/>
    <w:rsid w:val="00D16B4F"/>
    <w:rsid w:val="00D37463"/>
    <w:rsid w:val="00D46A89"/>
    <w:rsid w:val="00D52714"/>
    <w:rsid w:val="00D5577E"/>
    <w:rsid w:val="00D76B62"/>
    <w:rsid w:val="00DB6A2D"/>
    <w:rsid w:val="00DC6818"/>
    <w:rsid w:val="00DE3233"/>
    <w:rsid w:val="00E13B67"/>
    <w:rsid w:val="00E22EE1"/>
    <w:rsid w:val="00E40951"/>
    <w:rsid w:val="00E464CE"/>
    <w:rsid w:val="00E52EB4"/>
    <w:rsid w:val="00E55030"/>
    <w:rsid w:val="00E639F6"/>
    <w:rsid w:val="00E73FCD"/>
    <w:rsid w:val="00E80E4D"/>
    <w:rsid w:val="00E87B1B"/>
    <w:rsid w:val="00EA7085"/>
    <w:rsid w:val="00EB28BD"/>
    <w:rsid w:val="00ED08B7"/>
    <w:rsid w:val="00ED0A77"/>
    <w:rsid w:val="00ED5FF6"/>
    <w:rsid w:val="00F17CD4"/>
    <w:rsid w:val="00F25425"/>
    <w:rsid w:val="00F31737"/>
    <w:rsid w:val="00F34F6E"/>
    <w:rsid w:val="00F36F4F"/>
    <w:rsid w:val="00F66F9C"/>
    <w:rsid w:val="00F7258A"/>
    <w:rsid w:val="00F771F4"/>
    <w:rsid w:val="00F950F6"/>
    <w:rsid w:val="00F97CA9"/>
    <w:rsid w:val="00FB5765"/>
    <w:rsid w:val="00FF3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D245"/>
  <w15:docId w15:val="{E2F67006-0558-4BF4-9015-4CB658D4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5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2B55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7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929"/>
    <w:rPr>
      <w:rFonts w:ascii="Tahoma" w:hAnsi="Tahoma" w:cs="Tahoma"/>
      <w:sz w:val="16"/>
      <w:szCs w:val="16"/>
    </w:rPr>
  </w:style>
  <w:style w:type="paragraph" w:styleId="ListParagraph">
    <w:name w:val="List Paragraph"/>
    <w:basedOn w:val="Normal"/>
    <w:uiPriority w:val="34"/>
    <w:qFormat/>
    <w:rsid w:val="00A340A3"/>
    <w:pPr>
      <w:ind w:left="720"/>
      <w:contextualSpacing/>
    </w:pPr>
    <w:rPr>
      <w:rFonts w:ascii="Calibri" w:hAnsi="Calibri" w:cs="Times New Roman"/>
    </w:rPr>
  </w:style>
  <w:style w:type="character" w:styleId="CommentReference">
    <w:name w:val="annotation reference"/>
    <w:basedOn w:val="DefaultParagraphFont"/>
    <w:uiPriority w:val="99"/>
    <w:semiHidden/>
    <w:unhideWhenUsed/>
    <w:rsid w:val="00A13581"/>
    <w:rPr>
      <w:sz w:val="16"/>
      <w:szCs w:val="16"/>
    </w:rPr>
  </w:style>
  <w:style w:type="paragraph" w:styleId="CommentText">
    <w:name w:val="annotation text"/>
    <w:basedOn w:val="Normal"/>
    <w:link w:val="CommentTextChar"/>
    <w:uiPriority w:val="99"/>
    <w:unhideWhenUsed/>
    <w:rsid w:val="00A13581"/>
    <w:pPr>
      <w:spacing w:line="240" w:lineRule="auto"/>
    </w:pPr>
    <w:rPr>
      <w:sz w:val="20"/>
      <w:szCs w:val="20"/>
    </w:rPr>
  </w:style>
  <w:style w:type="character" w:customStyle="1" w:styleId="CommentTextChar">
    <w:name w:val="Comment Text Char"/>
    <w:basedOn w:val="DefaultParagraphFont"/>
    <w:link w:val="CommentText"/>
    <w:uiPriority w:val="99"/>
    <w:rsid w:val="00A13581"/>
    <w:rPr>
      <w:sz w:val="20"/>
      <w:szCs w:val="20"/>
    </w:rPr>
  </w:style>
  <w:style w:type="paragraph" w:styleId="CommentSubject">
    <w:name w:val="annotation subject"/>
    <w:basedOn w:val="CommentText"/>
    <w:next w:val="CommentText"/>
    <w:link w:val="CommentSubjectChar"/>
    <w:uiPriority w:val="99"/>
    <w:semiHidden/>
    <w:unhideWhenUsed/>
    <w:rsid w:val="00A13581"/>
    <w:rPr>
      <w:b/>
      <w:bCs/>
    </w:rPr>
  </w:style>
  <w:style w:type="character" w:customStyle="1" w:styleId="CommentSubjectChar">
    <w:name w:val="Comment Subject Char"/>
    <w:basedOn w:val="CommentTextChar"/>
    <w:link w:val="CommentSubject"/>
    <w:uiPriority w:val="99"/>
    <w:semiHidden/>
    <w:rsid w:val="00A13581"/>
    <w:rPr>
      <w:b/>
      <w:bCs/>
      <w:sz w:val="20"/>
      <w:szCs w:val="20"/>
    </w:rPr>
  </w:style>
  <w:style w:type="character" w:customStyle="1" w:styleId="Heading1Char">
    <w:name w:val="Heading 1 Char"/>
    <w:basedOn w:val="DefaultParagraphFont"/>
    <w:link w:val="Heading1"/>
    <w:uiPriority w:val="9"/>
    <w:rsid w:val="002B559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B55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B559A"/>
    <w:rPr>
      <w:color w:val="0000FF"/>
      <w:u w:val="single"/>
    </w:rPr>
  </w:style>
  <w:style w:type="character" w:customStyle="1" w:styleId="Heading2Char">
    <w:name w:val="Heading 2 Char"/>
    <w:basedOn w:val="DefaultParagraphFont"/>
    <w:link w:val="Heading2"/>
    <w:uiPriority w:val="9"/>
    <w:semiHidden/>
    <w:rsid w:val="002B559A"/>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2B559A"/>
    <w:rPr>
      <w:b/>
      <w:bCs/>
    </w:rPr>
  </w:style>
  <w:style w:type="character" w:styleId="UnresolvedMention">
    <w:name w:val="Unresolved Mention"/>
    <w:basedOn w:val="DefaultParagraphFont"/>
    <w:uiPriority w:val="99"/>
    <w:semiHidden/>
    <w:unhideWhenUsed/>
    <w:rsid w:val="00773DC7"/>
    <w:rPr>
      <w:color w:val="605E5C"/>
      <w:shd w:val="clear" w:color="auto" w:fill="E1DFDD"/>
    </w:rPr>
  </w:style>
  <w:style w:type="paragraph" w:styleId="Revision">
    <w:name w:val="Revision"/>
    <w:hidden/>
    <w:uiPriority w:val="99"/>
    <w:semiHidden/>
    <w:rsid w:val="00745D13"/>
    <w:pPr>
      <w:spacing w:after="0" w:line="240" w:lineRule="auto"/>
    </w:pPr>
  </w:style>
  <w:style w:type="character" w:styleId="FollowedHyperlink">
    <w:name w:val="FollowedHyperlink"/>
    <w:basedOn w:val="DefaultParagraphFont"/>
    <w:uiPriority w:val="99"/>
    <w:semiHidden/>
    <w:unhideWhenUsed/>
    <w:rsid w:val="008D5287"/>
    <w:rPr>
      <w:color w:val="800080" w:themeColor="followedHyperlink"/>
      <w:u w:val="single"/>
    </w:rPr>
  </w:style>
  <w:style w:type="paragraph" w:styleId="Footer">
    <w:name w:val="footer"/>
    <w:basedOn w:val="Normal"/>
    <w:link w:val="FooterChar"/>
    <w:uiPriority w:val="99"/>
    <w:unhideWhenUsed/>
    <w:rsid w:val="00320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1824">
      <w:bodyDiv w:val="1"/>
      <w:marLeft w:val="0"/>
      <w:marRight w:val="0"/>
      <w:marTop w:val="0"/>
      <w:marBottom w:val="0"/>
      <w:divBdr>
        <w:top w:val="none" w:sz="0" w:space="0" w:color="auto"/>
        <w:left w:val="none" w:sz="0" w:space="0" w:color="auto"/>
        <w:bottom w:val="none" w:sz="0" w:space="0" w:color="auto"/>
        <w:right w:val="none" w:sz="0" w:space="0" w:color="auto"/>
      </w:divBdr>
    </w:div>
    <w:div w:id="407314925">
      <w:bodyDiv w:val="1"/>
      <w:marLeft w:val="0"/>
      <w:marRight w:val="0"/>
      <w:marTop w:val="0"/>
      <w:marBottom w:val="0"/>
      <w:divBdr>
        <w:top w:val="none" w:sz="0" w:space="0" w:color="auto"/>
        <w:left w:val="none" w:sz="0" w:space="0" w:color="auto"/>
        <w:bottom w:val="none" w:sz="0" w:space="0" w:color="auto"/>
        <w:right w:val="none" w:sz="0" w:space="0" w:color="auto"/>
      </w:divBdr>
    </w:div>
    <w:div w:id="691346878">
      <w:bodyDiv w:val="1"/>
      <w:marLeft w:val="0"/>
      <w:marRight w:val="0"/>
      <w:marTop w:val="0"/>
      <w:marBottom w:val="0"/>
      <w:divBdr>
        <w:top w:val="none" w:sz="0" w:space="0" w:color="auto"/>
        <w:left w:val="none" w:sz="0" w:space="0" w:color="auto"/>
        <w:bottom w:val="none" w:sz="0" w:space="0" w:color="auto"/>
        <w:right w:val="none" w:sz="0" w:space="0" w:color="auto"/>
      </w:divBdr>
    </w:div>
    <w:div w:id="1061950711">
      <w:bodyDiv w:val="1"/>
      <w:marLeft w:val="0"/>
      <w:marRight w:val="0"/>
      <w:marTop w:val="0"/>
      <w:marBottom w:val="0"/>
      <w:divBdr>
        <w:top w:val="none" w:sz="0" w:space="0" w:color="auto"/>
        <w:left w:val="none" w:sz="0" w:space="0" w:color="auto"/>
        <w:bottom w:val="none" w:sz="0" w:space="0" w:color="auto"/>
        <w:right w:val="none" w:sz="0" w:space="0" w:color="auto"/>
      </w:divBdr>
    </w:div>
    <w:div w:id="1387995413">
      <w:bodyDiv w:val="1"/>
      <w:marLeft w:val="0"/>
      <w:marRight w:val="0"/>
      <w:marTop w:val="0"/>
      <w:marBottom w:val="0"/>
      <w:divBdr>
        <w:top w:val="none" w:sz="0" w:space="0" w:color="auto"/>
        <w:left w:val="none" w:sz="0" w:space="0" w:color="auto"/>
        <w:bottom w:val="none" w:sz="0" w:space="0" w:color="auto"/>
        <w:right w:val="none" w:sz="0" w:space="0" w:color="auto"/>
      </w:divBdr>
    </w:div>
    <w:div w:id="1529639548">
      <w:bodyDiv w:val="1"/>
      <w:marLeft w:val="0"/>
      <w:marRight w:val="0"/>
      <w:marTop w:val="0"/>
      <w:marBottom w:val="0"/>
      <w:divBdr>
        <w:top w:val="none" w:sz="0" w:space="0" w:color="auto"/>
        <w:left w:val="none" w:sz="0" w:space="0" w:color="auto"/>
        <w:bottom w:val="none" w:sz="0" w:space="0" w:color="auto"/>
        <w:right w:val="none" w:sz="0" w:space="0" w:color="auto"/>
      </w:divBdr>
    </w:div>
    <w:div w:id="1543594647">
      <w:bodyDiv w:val="1"/>
      <w:marLeft w:val="0"/>
      <w:marRight w:val="0"/>
      <w:marTop w:val="0"/>
      <w:marBottom w:val="0"/>
      <w:divBdr>
        <w:top w:val="none" w:sz="0" w:space="0" w:color="auto"/>
        <w:left w:val="none" w:sz="0" w:space="0" w:color="auto"/>
        <w:bottom w:val="none" w:sz="0" w:space="0" w:color="auto"/>
        <w:right w:val="none" w:sz="0" w:space="0" w:color="auto"/>
      </w:divBdr>
    </w:div>
    <w:div w:id="1564876368">
      <w:bodyDiv w:val="1"/>
      <w:marLeft w:val="0"/>
      <w:marRight w:val="0"/>
      <w:marTop w:val="0"/>
      <w:marBottom w:val="0"/>
      <w:divBdr>
        <w:top w:val="none" w:sz="0" w:space="0" w:color="auto"/>
        <w:left w:val="none" w:sz="0" w:space="0" w:color="auto"/>
        <w:bottom w:val="none" w:sz="0" w:space="0" w:color="auto"/>
        <w:right w:val="none" w:sz="0" w:space="0" w:color="auto"/>
      </w:divBdr>
    </w:div>
    <w:div w:id="168624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68AD5-99E6-478A-ACAA-1C90EF72DF2C}">
  <ds:schemaRefs>
    <ds:schemaRef ds:uri="http://schemas.openxmlformats.org/officeDocument/2006/bibliography"/>
  </ds:schemaRefs>
</ds:datastoreItem>
</file>

<file path=docMetadata/LabelInfo.xml><?xml version="1.0" encoding="utf-8"?>
<clbl:labelList xmlns:clbl="http://schemas.microsoft.com/office/2020/mipLabelMetadata">
  <clbl:label id="{83759d87-352a-4f10-a284-9bae32d54dfc}" enabled="1" method="Standard" siteId="{ae9d26ef-a753-4f6b-a2d4-48e15ab01edb}" contentBits="2" removed="0"/>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BHF</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Mazzetta</dc:creator>
  <cp:lastModifiedBy>Alex Mazzetta</cp:lastModifiedBy>
  <cp:revision>7</cp:revision>
  <cp:lastPrinted>2020-01-23T14:56:00Z</cp:lastPrinted>
  <dcterms:created xsi:type="dcterms:W3CDTF">2025-10-02T15:05:00Z</dcterms:created>
  <dcterms:modified xsi:type="dcterms:W3CDTF">2026-03-05T16:06:00Z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688a8ab6,1dbe00bf,2151ddaf</vt:lpwstr>
  </property>
  <property fmtid="{D5CDD505-2E9C-101B-9397-08002B2CF9AE}" pid="3" name="ClassificationContentMarkingFooterFontProps">
    <vt:lpwstr>#000000,11,Calibri</vt:lpwstr>
  </property>
  <property fmtid="{D5CDD505-2E9C-101B-9397-08002B2CF9AE}" pid="4" name="ClassificationContentMarkingFooterText">
    <vt:lpwstr>Internal</vt:lpwstr>
  </property>
</Properties>
</file>